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AE" w:rsidRDefault="004D07AE" w:rsidP="004D07AE">
      <w:pPr>
        <w:jc w:val="center"/>
        <w:rPr>
          <w:b/>
          <w:u w:val="single"/>
        </w:rPr>
      </w:pPr>
      <w:r>
        <w:rPr>
          <w:b/>
          <w:u w:val="single"/>
        </w:rPr>
        <w:t>Městys Deblín, Deblín čp. 43, 664 75</w:t>
      </w:r>
    </w:p>
    <w:p w:rsidR="00843D94" w:rsidRPr="00CF0661" w:rsidRDefault="005B08E3" w:rsidP="00843D94">
      <w:pPr>
        <w:jc w:val="center"/>
        <w:rPr>
          <w:b/>
          <w:u w:val="single"/>
        </w:rPr>
      </w:pPr>
      <w:r w:rsidRPr="00CF0661">
        <w:rPr>
          <w:b/>
          <w:u w:val="single"/>
        </w:rPr>
        <w:t>Pravidla pro poskytování  dotací z rozpočtu městyse Deblín</w:t>
      </w:r>
    </w:p>
    <w:p w:rsidR="00843D94" w:rsidRPr="004D07AE" w:rsidRDefault="00843D94" w:rsidP="00843D94">
      <w:pPr>
        <w:jc w:val="center"/>
        <w:rPr>
          <w:b/>
          <w:u w:val="single"/>
        </w:rPr>
      </w:pPr>
      <w:r w:rsidRPr="004D07AE">
        <w:rPr>
          <w:b/>
          <w:u w:val="single"/>
        </w:rPr>
        <w:t>Čl. 1 Úvodní ustanovení</w:t>
      </w:r>
    </w:p>
    <w:p w:rsidR="00843D94" w:rsidRPr="00625AB7" w:rsidRDefault="00843D94" w:rsidP="00843D94">
      <w:pPr>
        <w:pStyle w:val="Odstavecseseznamem"/>
        <w:numPr>
          <w:ilvl w:val="0"/>
          <w:numId w:val="1"/>
        </w:numPr>
      </w:pPr>
      <w:r w:rsidRPr="00625AB7">
        <w:t xml:space="preserve">Žádost o dotaci z rozpočtu městyse může podat žadatel / fyzická nebo právnická osoba/, která má vyrovnány všechny splatné závazky vůči obci. Dotace bude poskytována na podporu činnosti v některé z těchto </w:t>
      </w:r>
      <w:proofErr w:type="gramStart"/>
      <w:r w:rsidRPr="00625AB7">
        <w:t>oblastí :</w:t>
      </w:r>
      <w:proofErr w:type="gramEnd"/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Sportovní a zájmová činnost</w:t>
      </w:r>
    </w:p>
    <w:p w:rsidR="00843D94" w:rsidRPr="00625AB7" w:rsidRDefault="003E33AE" w:rsidP="00843D94">
      <w:pPr>
        <w:pStyle w:val="Odstavecseseznamem"/>
        <w:numPr>
          <w:ilvl w:val="0"/>
          <w:numId w:val="2"/>
        </w:numPr>
      </w:pPr>
      <w:r>
        <w:t>Činnosti v oblasti kultury a církví</w:t>
      </w:r>
    </w:p>
    <w:p w:rsidR="00843D94" w:rsidRPr="00625AB7" w:rsidRDefault="003E33AE" w:rsidP="00843D94">
      <w:pPr>
        <w:pStyle w:val="Odstavecseseznamem"/>
        <w:numPr>
          <w:ilvl w:val="0"/>
          <w:numId w:val="2"/>
        </w:numPr>
      </w:pPr>
      <w:r>
        <w:t>Poskytování registrovaných sociálních služeb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Zájmová činnosti dětí a mládeže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Jiná společensky prospěšná činnost</w:t>
      </w:r>
    </w:p>
    <w:p w:rsidR="00843D94" w:rsidRDefault="00843D94" w:rsidP="00843D94">
      <w:pPr>
        <w:pStyle w:val="Odstavecseseznamem"/>
        <w:numPr>
          <w:ilvl w:val="0"/>
          <w:numId w:val="1"/>
        </w:numPr>
      </w:pPr>
      <w:r w:rsidRPr="00625AB7">
        <w:t xml:space="preserve">Dotace lze poskytnout zejména </w:t>
      </w:r>
      <w:proofErr w:type="gramStart"/>
      <w:r w:rsidRPr="00625AB7">
        <w:t>na :</w:t>
      </w:r>
      <w:proofErr w:type="gramEnd"/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Nákup materiálu, movitého majetku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Nákup služeb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Pronájem prostor a techniky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Náklady spojené s propagací projektu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Ostatní adekvátní náklady prokazatelně související s projektem</w:t>
      </w:r>
    </w:p>
    <w:p w:rsidR="00843D94" w:rsidRPr="00625AB7" w:rsidRDefault="00843D94" w:rsidP="00843D94">
      <w:pPr>
        <w:pStyle w:val="Odstavecseseznamem"/>
        <w:numPr>
          <w:ilvl w:val="0"/>
          <w:numId w:val="1"/>
        </w:numPr>
      </w:pPr>
      <w:r w:rsidRPr="00625AB7">
        <w:t xml:space="preserve">Dotace nelze poskytnout zejména </w:t>
      </w:r>
      <w:proofErr w:type="gramStart"/>
      <w:r w:rsidRPr="00625AB7">
        <w:t>na :</w:t>
      </w:r>
      <w:proofErr w:type="gramEnd"/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Mzdy/platy/, daně a odvody, dohody o pracovní činnosti a do</w:t>
      </w:r>
      <w:r w:rsidR="0056152C">
        <w:t>h</w:t>
      </w:r>
      <w:r w:rsidRPr="00625AB7">
        <w:t>ody o provedení práce hráče sportovních klubů, funkcionářů a administrativních pracovníků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Úhrady členských příspěvků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Výdaje na zálohové platby, které nebudou vyúčtovány do data vyúčtování dotace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Finanční dary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Pohoštění a dary, s výjimkou občerstvení a cen při soutěžích pro děti a mládež pokud jsou součástí akce</w:t>
      </w:r>
    </w:p>
    <w:p w:rsidR="00843D94" w:rsidRPr="00625AB7" w:rsidRDefault="00843D94" w:rsidP="00843D94">
      <w:pPr>
        <w:pStyle w:val="Odstavecseseznamem"/>
        <w:numPr>
          <w:ilvl w:val="0"/>
          <w:numId w:val="2"/>
        </w:numPr>
      </w:pPr>
      <w:r w:rsidRPr="00625AB7">
        <w:t>Náklady prokazatelně nesouvisející s projektem</w:t>
      </w:r>
    </w:p>
    <w:p w:rsidR="00843D94" w:rsidRPr="00625AB7" w:rsidRDefault="00843D94" w:rsidP="00843D94">
      <w:pPr>
        <w:pStyle w:val="Odstavecseseznamem"/>
        <w:numPr>
          <w:ilvl w:val="0"/>
          <w:numId w:val="1"/>
        </w:numPr>
      </w:pPr>
      <w:r w:rsidRPr="00625AB7">
        <w:t>Celkový objem finančních prostředků poskytovaných je stanoven ve schváleném rozpočtu obce pro daný rok.</w:t>
      </w:r>
    </w:p>
    <w:p w:rsidR="00843D94" w:rsidRPr="00625AB7" w:rsidRDefault="00843D94" w:rsidP="00843D94">
      <w:pPr>
        <w:pStyle w:val="Odstavecseseznamem"/>
      </w:pPr>
    </w:p>
    <w:p w:rsidR="00843D94" w:rsidRPr="00625AB7" w:rsidRDefault="00843D94" w:rsidP="00843D94">
      <w:pPr>
        <w:pStyle w:val="Odstavecseseznamem"/>
      </w:pPr>
    </w:p>
    <w:p w:rsidR="00843D94" w:rsidRPr="004D07AE" w:rsidRDefault="00843D94" w:rsidP="00843D94">
      <w:pPr>
        <w:pStyle w:val="Odstavecseseznamem"/>
        <w:jc w:val="center"/>
        <w:rPr>
          <w:b/>
          <w:u w:val="single"/>
        </w:rPr>
      </w:pPr>
      <w:proofErr w:type="gramStart"/>
      <w:r w:rsidRPr="004D07AE">
        <w:rPr>
          <w:b/>
          <w:u w:val="single"/>
        </w:rPr>
        <w:t>Čl.2 Postup</w:t>
      </w:r>
      <w:proofErr w:type="gramEnd"/>
      <w:r w:rsidRPr="004D07AE">
        <w:rPr>
          <w:b/>
          <w:u w:val="single"/>
        </w:rPr>
        <w:t xml:space="preserve"> při dotačním řízení</w:t>
      </w:r>
    </w:p>
    <w:p w:rsidR="00CF0661" w:rsidRPr="00625AB7" w:rsidRDefault="00CF0661" w:rsidP="00843D94">
      <w:pPr>
        <w:pStyle w:val="Odstavecseseznamem"/>
        <w:jc w:val="center"/>
      </w:pPr>
    </w:p>
    <w:p w:rsidR="000D3F60" w:rsidRPr="00625AB7" w:rsidRDefault="000D3F60" w:rsidP="00CF0661">
      <w:pPr>
        <w:pStyle w:val="Odstavecseseznamem"/>
        <w:numPr>
          <w:ilvl w:val="0"/>
          <w:numId w:val="3"/>
        </w:numPr>
        <w:jc w:val="both"/>
      </w:pPr>
      <w:r w:rsidRPr="00625AB7">
        <w:t xml:space="preserve">Žádost o poskytnutí dotace se podává na formuláři / </w:t>
      </w:r>
      <w:proofErr w:type="gramStart"/>
      <w:r w:rsidRPr="00625AB7">
        <w:t>viz. příloha</w:t>
      </w:r>
      <w:proofErr w:type="gramEnd"/>
      <w:r w:rsidRPr="00625AB7">
        <w:t xml:space="preserve"> č. 1/, který obsahuje náležitosti stanovené § 10a odst.3 zákona č. 250/2000 Sb., o rozpočtových pravidlech územních rozpočtů, ve znění pozdějších předpisů. Formulář žádosti je k dispozici na internetových stránkách městyse Deblín /www.deblin.cz/ nebo na úřadu městyse.</w:t>
      </w:r>
    </w:p>
    <w:p w:rsidR="000D3F60" w:rsidRPr="00625AB7" w:rsidRDefault="000D3F60" w:rsidP="00CF0661">
      <w:pPr>
        <w:pStyle w:val="Odstavecseseznamem"/>
        <w:numPr>
          <w:ilvl w:val="0"/>
          <w:numId w:val="3"/>
        </w:numPr>
        <w:jc w:val="both"/>
      </w:pPr>
      <w:r w:rsidRPr="00625AB7">
        <w:t xml:space="preserve">Žádosti o individuální dotace  z rozpočtu městyse Deblín se podávají do </w:t>
      </w:r>
      <w:proofErr w:type="gramStart"/>
      <w:r w:rsidRPr="00625AB7">
        <w:t>25.1. kalendářního</w:t>
      </w:r>
      <w:proofErr w:type="gramEnd"/>
      <w:r w:rsidRPr="00625AB7">
        <w:t xml:space="preserve"> roku.</w:t>
      </w:r>
      <w:r w:rsidR="00625AB7" w:rsidRPr="00625AB7">
        <w:t xml:space="preserve"> Žádosti je možné posílat poštou na adresu Městys Deblín, Deblín čp. 43, 664 75 Deblín nebo odevzdat osobně v kanceláři Úřadu městyse Deblín.</w:t>
      </w:r>
    </w:p>
    <w:p w:rsidR="00600426" w:rsidRPr="00625AB7" w:rsidRDefault="00600426" w:rsidP="00CF0661">
      <w:pPr>
        <w:pStyle w:val="Odstavecseseznamem"/>
        <w:numPr>
          <w:ilvl w:val="0"/>
          <w:numId w:val="3"/>
        </w:numPr>
        <w:jc w:val="both"/>
      </w:pPr>
      <w:r w:rsidRPr="00625AB7">
        <w:t>Pokud bude žádost neúplná nebo údaje v ní nebudou odpovídat skutečnosti, bude žadatel vyzván, aby ve stanoveném termínu žádost doplnil. Pokud tak žadatel neučiní, bude žádost z dalšího jednání o poskytování dotace vyřazena. Žádosti a jejich přílohy se žadateli nevracejí.</w:t>
      </w:r>
    </w:p>
    <w:p w:rsidR="00CF0661" w:rsidRPr="00625AB7" w:rsidRDefault="00CF0661" w:rsidP="00CF0661">
      <w:pPr>
        <w:pStyle w:val="Odstavecseseznamem"/>
        <w:numPr>
          <w:ilvl w:val="0"/>
          <w:numId w:val="3"/>
        </w:numPr>
        <w:jc w:val="both"/>
      </w:pPr>
      <w:r w:rsidRPr="00625AB7">
        <w:t>O poskytnutí dotace rozhoduje Zastupitelstvo městyse Deblín. Na poskytování dotace není právní nárok.</w:t>
      </w:r>
    </w:p>
    <w:p w:rsidR="00CF0661" w:rsidRPr="00625AB7" w:rsidRDefault="00CF0661" w:rsidP="00CF0661">
      <w:pPr>
        <w:pStyle w:val="Odstavecseseznamem"/>
        <w:numPr>
          <w:ilvl w:val="0"/>
          <w:numId w:val="3"/>
        </w:numPr>
        <w:jc w:val="both"/>
      </w:pPr>
      <w:r w:rsidRPr="00625AB7">
        <w:lastRenderedPageBreak/>
        <w:t>Žadatelé budou v případě schválení dotace vyzváni k uzavření veřejnoprávní smlouvy o poskytnutí dotace/§ 10a odst. 5 zákona/. Nebude-li dotace žadateli přidělena, bude tento bez zbytečného odkladu písemn</w:t>
      </w:r>
      <w:r w:rsidR="002073D5">
        <w:t>ě</w:t>
      </w:r>
      <w:r w:rsidRPr="00625AB7">
        <w:t xml:space="preserve"> informován/ nejpozději do 15 dnů od projednání/.</w:t>
      </w:r>
    </w:p>
    <w:p w:rsidR="00CF0661" w:rsidRPr="00625AB7" w:rsidRDefault="00CF0661" w:rsidP="00CF0661">
      <w:pPr>
        <w:pStyle w:val="Odstavecseseznamem"/>
      </w:pPr>
    </w:p>
    <w:p w:rsidR="00CF0661" w:rsidRPr="004D07AE" w:rsidRDefault="00CF0661" w:rsidP="00CF0661">
      <w:pPr>
        <w:jc w:val="center"/>
        <w:rPr>
          <w:b/>
          <w:u w:val="single"/>
        </w:rPr>
      </w:pPr>
      <w:proofErr w:type="gramStart"/>
      <w:r w:rsidRPr="004D07AE">
        <w:rPr>
          <w:b/>
          <w:u w:val="single"/>
        </w:rPr>
        <w:t>Čl.3 Povinnosti</w:t>
      </w:r>
      <w:proofErr w:type="gramEnd"/>
      <w:r w:rsidRPr="004D07AE">
        <w:rPr>
          <w:b/>
          <w:u w:val="single"/>
        </w:rPr>
        <w:t xml:space="preserve"> příjemce dotace</w:t>
      </w:r>
    </w:p>
    <w:p w:rsidR="00CF0661" w:rsidRPr="00625AB7" w:rsidRDefault="00CF0661" w:rsidP="00CF0661">
      <w:pPr>
        <w:pStyle w:val="Odstavecseseznamem"/>
      </w:pPr>
    </w:p>
    <w:p w:rsidR="00CF0661" w:rsidRPr="00625AB7" w:rsidRDefault="00CF0661" w:rsidP="00CF0661">
      <w:pPr>
        <w:pStyle w:val="Odstavecseseznamem"/>
        <w:numPr>
          <w:ilvl w:val="0"/>
          <w:numId w:val="8"/>
        </w:numPr>
        <w:jc w:val="both"/>
      </w:pPr>
      <w:r w:rsidRPr="00625AB7">
        <w:t>Dotace je poskytována na výdaje vynaložené na činnosti realizované v kalendářním roce, na který byla poskytnuta. Dotace nemůže být převedena na jiný subjekt, ani použita k jinému než stanovenému účelu a nelze ji převádět do následujícího roku.</w:t>
      </w:r>
    </w:p>
    <w:p w:rsidR="00CF0661" w:rsidRPr="00625AB7" w:rsidRDefault="00CF0661" w:rsidP="00CF0661">
      <w:pPr>
        <w:pStyle w:val="Odstavecseseznamem"/>
        <w:numPr>
          <w:ilvl w:val="0"/>
          <w:numId w:val="8"/>
        </w:numPr>
        <w:jc w:val="both"/>
      </w:pPr>
      <w:r w:rsidRPr="00625AB7">
        <w:t xml:space="preserve">Příjemce odpovídá za řádné a oddělené sledování poskytnutí a čerpání prostředků ve svém účetnictví v souladu s obecně platnými předpisy, zejména zákonem č. 563/1991 </w:t>
      </w:r>
      <w:proofErr w:type="spellStart"/>
      <w:proofErr w:type="gramStart"/>
      <w:r w:rsidRPr="00625AB7">
        <w:t>Sb.,o</w:t>
      </w:r>
      <w:proofErr w:type="spellEnd"/>
      <w:r w:rsidRPr="00625AB7">
        <w:t xml:space="preserve"> účetnictví</w:t>
      </w:r>
      <w:proofErr w:type="gramEnd"/>
      <w:r w:rsidRPr="00625AB7">
        <w:t xml:space="preserve">, ve znění pozdějších předpisů.  </w:t>
      </w:r>
    </w:p>
    <w:p w:rsidR="0060481F" w:rsidRPr="00625AB7" w:rsidRDefault="0060481F" w:rsidP="00CF0661">
      <w:pPr>
        <w:pStyle w:val="Odstavecseseznamem"/>
        <w:numPr>
          <w:ilvl w:val="0"/>
          <w:numId w:val="8"/>
        </w:numPr>
        <w:jc w:val="both"/>
      </w:pPr>
      <w:r w:rsidRPr="00625AB7">
        <w:t>Na originálech dokladů prokazujících využití dotace z prostředků městyse Deblín musí být viditelně označeno „</w:t>
      </w:r>
      <w:r w:rsidR="004D07AE">
        <w:t>H</w:t>
      </w:r>
      <w:r w:rsidRPr="00625AB7">
        <w:t>razeno z</w:t>
      </w:r>
      <w:r w:rsidR="004D07AE">
        <w:t> dotace městyse Deblín ve výši …………………….Kč</w:t>
      </w:r>
    </w:p>
    <w:p w:rsidR="0060481F" w:rsidRPr="00625AB7" w:rsidRDefault="0060481F" w:rsidP="00CF0661">
      <w:pPr>
        <w:pStyle w:val="Odstavecseseznamem"/>
        <w:numPr>
          <w:ilvl w:val="0"/>
          <w:numId w:val="8"/>
        </w:numPr>
        <w:jc w:val="both"/>
      </w:pPr>
      <w:r w:rsidRPr="00625AB7">
        <w:t xml:space="preserve">Příjemce může požádat písemnou formou o změnu účelu využití finančního příspěvku  a prostředky </w:t>
      </w:r>
      <w:r w:rsidR="0040059D" w:rsidRPr="00625AB7">
        <w:t>na jiný účel použít až po schválení v zastupitelstvu této žádosti.</w:t>
      </w:r>
    </w:p>
    <w:p w:rsidR="0040059D" w:rsidRPr="00625AB7" w:rsidRDefault="0040059D" w:rsidP="00CF0661">
      <w:pPr>
        <w:pStyle w:val="Odstavecseseznamem"/>
        <w:numPr>
          <w:ilvl w:val="0"/>
          <w:numId w:val="8"/>
        </w:numPr>
        <w:jc w:val="both"/>
      </w:pPr>
      <w:r w:rsidRPr="00625AB7">
        <w:t>V případě, že se projekt neuskuteční, informuje příjemce o této skutečnosti neprod</w:t>
      </w:r>
      <w:r w:rsidR="004D07AE">
        <w:t>l</w:t>
      </w:r>
      <w:r w:rsidRPr="00625AB7">
        <w:t>eně písemně poskytovatele a dotaci vrátí v plné výši na účet městyse Deblín. Příjemce je povinen vrátit nevyčerpané prostředky spolu s vyúčtováním nejpozději  do 30 dnů od předčasného ukončení nebo zastavení projektu.</w:t>
      </w:r>
    </w:p>
    <w:p w:rsidR="0040059D" w:rsidRPr="00625AB7" w:rsidRDefault="0040059D" w:rsidP="00CF0661">
      <w:pPr>
        <w:pStyle w:val="Odstavecseseznamem"/>
        <w:numPr>
          <w:ilvl w:val="0"/>
          <w:numId w:val="8"/>
        </w:numPr>
        <w:jc w:val="both"/>
      </w:pPr>
      <w:r w:rsidRPr="00625AB7">
        <w:t>Příjemce dotace je povinen oznámit do 15-ti dnů každou změnu údajů uvedených v žádosti o poskytnutí dotace a skutečnosti mající vliv na její poskytnutí / např. změnu svých identifikačních  údajů, změnu statutárních zástupců, změnu čísla účtu, zánik, sloučení apod./</w:t>
      </w:r>
    </w:p>
    <w:p w:rsidR="0040059D" w:rsidRPr="00625AB7" w:rsidRDefault="0040059D" w:rsidP="00CF0661">
      <w:pPr>
        <w:pStyle w:val="Odstavecseseznamem"/>
        <w:numPr>
          <w:ilvl w:val="0"/>
          <w:numId w:val="8"/>
        </w:numPr>
        <w:jc w:val="both"/>
      </w:pPr>
      <w:r w:rsidRPr="00625AB7">
        <w:t>V případě přeměny právnické osoby příjemce v době trvání uzavřené veřejnoprávní smlouvy je příjemce povinen o této připravované přeměně městys s předstihem informovat a městys si vyhrazuje možnost požadovat vrácení poskytnuté dotace. V případě zrušení právnické osoby příjemce s likvidací v době trvání této smlouvy je příjemce povinen o této připravované likvidaci městys s předstihem písemně informovat a je povinen dotaci v celé výši vrátit na účet městyse před zahájením rušení právnické osoby.</w:t>
      </w:r>
    </w:p>
    <w:p w:rsidR="009038A5" w:rsidRPr="004D07AE" w:rsidRDefault="009038A5" w:rsidP="009038A5">
      <w:pPr>
        <w:jc w:val="center"/>
        <w:rPr>
          <w:b/>
          <w:u w:val="single"/>
        </w:rPr>
      </w:pPr>
      <w:r w:rsidRPr="004D07AE">
        <w:rPr>
          <w:b/>
          <w:u w:val="single"/>
        </w:rPr>
        <w:t>Čl.4 Finanční vypořádání dotací</w:t>
      </w:r>
    </w:p>
    <w:p w:rsidR="009038A5" w:rsidRPr="00625AB7" w:rsidRDefault="009038A5" w:rsidP="00BF0F0F">
      <w:pPr>
        <w:pStyle w:val="Odstavecseseznamem"/>
        <w:numPr>
          <w:ilvl w:val="0"/>
          <w:numId w:val="9"/>
        </w:numPr>
        <w:jc w:val="both"/>
      </w:pPr>
      <w:r w:rsidRPr="00625AB7">
        <w:t>Příjemce dotace je povinen na předepsaném formuláři/viz. příloha č. 2/ finanční vypořádání do 10.12. kalendářního roku, na který se dotace poskytuje. Formulář obdrží příjemce současně se smlouvou. Nedílnou součástí vyúčtování budou fotokopie účetních dokladů prokazujících správné využití poskytnuté dotace/ např. výdajov</w:t>
      </w:r>
      <w:r w:rsidR="002073D5">
        <w:t>é</w:t>
      </w:r>
      <w:r w:rsidRPr="00625AB7">
        <w:t xml:space="preserve"> pokladní doklad</w:t>
      </w:r>
      <w:r w:rsidR="002073D5">
        <w:t>y</w:t>
      </w:r>
      <w:r w:rsidRPr="00625AB7">
        <w:t xml:space="preserve"> s příslušnými paragony, faktury včetně výpisu z účtu o jejím zaplacení apod./</w:t>
      </w:r>
    </w:p>
    <w:p w:rsidR="00BF0F0F" w:rsidRPr="00625AB7" w:rsidRDefault="00BF0F0F" w:rsidP="00BF0F0F">
      <w:pPr>
        <w:pStyle w:val="Odstavecseseznamem"/>
        <w:numPr>
          <w:ilvl w:val="0"/>
          <w:numId w:val="9"/>
        </w:numPr>
        <w:jc w:val="both"/>
      </w:pPr>
      <w:r w:rsidRPr="00625AB7">
        <w:t>Pokud příjemce neprovede ve stanoveném termínu vyúčtování nebo příspěvek použije v rozporu s účelem, na který byl poskytnut a je uveden ve smlouvě, je příjemce povinen tento příspěvek neprodleně vrátit na účet poskytovatele/za podmínek stanovených ve smlouvě/ nejpozději však do 31.1. následujícího roku. Pokud příjemce nevrátí prostře</w:t>
      </w:r>
      <w:r w:rsidR="00F545FB">
        <w:t>d</w:t>
      </w:r>
      <w:r w:rsidRPr="00625AB7">
        <w:t>ky na účet poskytovatele, považují se tyto prostředky za zadržené ve smyslu zákona č. 250/2000 Sb., o rozpočtových pravidlech územních rozpočtů, v platném znění.</w:t>
      </w:r>
    </w:p>
    <w:p w:rsidR="002073D5" w:rsidRDefault="002073D5" w:rsidP="00BF0F0F">
      <w:pPr>
        <w:jc w:val="center"/>
        <w:rPr>
          <w:b/>
          <w:u w:val="single"/>
        </w:rPr>
      </w:pPr>
    </w:p>
    <w:p w:rsidR="002073D5" w:rsidRDefault="002073D5" w:rsidP="00BF0F0F">
      <w:pPr>
        <w:jc w:val="center"/>
        <w:rPr>
          <w:b/>
          <w:u w:val="single"/>
        </w:rPr>
      </w:pPr>
    </w:p>
    <w:p w:rsidR="00BF0F0F" w:rsidRPr="004D07AE" w:rsidRDefault="00BF0F0F" w:rsidP="00BF0F0F">
      <w:pPr>
        <w:jc w:val="center"/>
        <w:rPr>
          <w:b/>
          <w:u w:val="single"/>
        </w:rPr>
      </w:pPr>
      <w:r w:rsidRPr="004D07AE">
        <w:rPr>
          <w:b/>
          <w:u w:val="single"/>
        </w:rPr>
        <w:lastRenderedPageBreak/>
        <w:t>Čl.5 Závěrečná ustanovení</w:t>
      </w:r>
    </w:p>
    <w:p w:rsidR="00BF0F0F" w:rsidRPr="00625AB7" w:rsidRDefault="00BF0F0F" w:rsidP="000844D8">
      <w:pPr>
        <w:pStyle w:val="Odstavecseseznamem"/>
        <w:numPr>
          <w:ilvl w:val="0"/>
          <w:numId w:val="10"/>
        </w:numPr>
        <w:jc w:val="both"/>
      </w:pPr>
      <w:r w:rsidRPr="00625AB7">
        <w:t>Žadatel je povinen umožnit výkon veřejnoprávní kontroly městyse Deblín v rozsahu daném zákonem č. 320/ 2001 Sb., o finanční kontrole ve veřejné správě a o změně některých zákonů/zákon o finanční kontrole/, v platném znění, i zajistit vstup pověřených zaměstnanců úřadu městyse Deblín a členů kontrolního výboru ZMD na podporované aktivity, předložit ke kontrole veškerou dokumentaci a účetní doklady vztahující se k akci apod.</w:t>
      </w:r>
    </w:p>
    <w:p w:rsidR="00BF0F0F" w:rsidRPr="00625AB7" w:rsidRDefault="00BF0F0F" w:rsidP="000844D8">
      <w:pPr>
        <w:pStyle w:val="Odstavecseseznamem"/>
        <w:numPr>
          <w:ilvl w:val="0"/>
          <w:numId w:val="10"/>
        </w:numPr>
        <w:jc w:val="both"/>
      </w:pPr>
      <w:r w:rsidRPr="00625AB7">
        <w:t>V případě, že městys Deblín poskytne na základě uzavřené veřejnoprávní smlouvy  dotaci vyšší než 50 000,- Kč</w:t>
      </w:r>
      <w:r w:rsidR="00115018" w:rsidRPr="00625AB7">
        <w:t>,</w:t>
      </w:r>
      <w:r w:rsidR="000844D8" w:rsidRPr="00625AB7">
        <w:t xml:space="preserve"> bude smlouva v souladu se zákonem č. 250/2000 Sb., o rozpočtových pravidlech územních rozpočtů, ve znění pozdějších předpisů zveřejněna na úřední desce </w:t>
      </w:r>
      <w:r w:rsidR="002073D5">
        <w:t xml:space="preserve">Městyse Deblín </w:t>
      </w:r>
      <w:r w:rsidR="000844D8" w:rsidRPr="00625AB7">
        <w:t>způsobem umožňujícím dálkový přístup do 30 dnů ode dne uzavření  smlouvy. Veřejnoprávní smlouva bude zveřejněna nejméně po dobu 3 let ode dne zveřejnění.</w:t>
      </w:r>
    </w:p>
    <w:p w:rsidR="00115018" w:rsidRPr="00625AB7" w:rsidRDefault="00115018" w:rsidP="000844D8">
      <w:pPr>
        <w:pStyle w:val="Odstavecseseznamem"/>
        <w:numPr>
          <w:ilvl w:val="0"/>
          <w:numId w:val="10"/>
        </w:numPr>
        <w:jc w:val="both"/>
      </w:pPr>
      <w:r w:rsidRPr="00625AB7">
        <w:t xml:space="preserve">Případné spory z právních poměrů při poskytnutí dotace rozhoduje podle správního řádu  Krajský úřad </w:t>
      </w:r>
      <w:r w:rsidR="004F1439">
        <w:t xml:space="preserve"> Jihomoravského kraje </w:t>
      </w:r>
      <w:r w:rsidRPr="00625AB7">
        <w:t>v přenesené působnosti.</w:t>
      </w:r>
    </w:p>
    <w:p w:rsidR="00115018" w:rsidRPr="00625AB7" w:rsidRDefault="00115018" w:rsidP="000844D8">
      <w:pPr>
        <w:pStyle w:val="Odstavecseseznamem"/>
        <w:numPr>
          <w:ilvl w:val="0"/>
          <w:numId w:val="10"/>
        </w:numPr>
        <w:jc w:val="both"/>
      </w:pPr>
      <w:r w:rsidRPr="00625AB7">
        <w:t xml:space="preserve">Tato pravidla včetně příloh byla schválena Zastupitelstvem městyse Deblín dne </w:t>
      </w:r>
      <w:r w:rsidR="002E656B">
        <w:t>16.12.2016</w:t>
      </w:r>
      <w:r w:rsidRPr="00625AB7">
        <w:t xml:space="preserve"> </w:t>
      </w:r>
      <w:r w:rsidR="002073D5">
        <w:t>u</w:t>
      </w:r>
      <w:r w:rsidRPr="00625AB7">
        <w:t xml:space="preserve">snesení č. </w:t>
      </w:r>
      <w:r w:rsidR="002E656B">
        <w:t>16/2016</w:t>
      </w:r>
      <w:r w:rsidRPr="00625AB7">
        <w:t xml:space="preserve"> a tímto dnem nabývají účinnosti.</w:t>
      </w:r>
    </w:p>
    <w:p w:rsidR="00115018" w:rsidRPr="00625AB7" w:rsidRDefault="00115018" w:rsidP="00115018">
      <w:pPr>
        <w:jc w:val="both"/>
      </w:pPr>
    </w:p>
    <w:p w:rsidR="00115018" w:rsidRPr="00625AB7" w:rsidRDefault="00115018" w:rsidP="00115018">
      <w:pPr>
        <w:jc w:val="both"/>
      </w:pPr>
    </w:p>
    <w:p w:rsidR="00115018" w:rsidRDefault="00115018" w:rsidP="00115018">
      <w:pPr>
        <w:jc w:val="both"/>
      </w:pPr>
    </w:p>
    <w:p w:rsidR="0056152C" w:rsidRDefault="0056152C" w:rsidP="00115018">
      <w:pPr>
        <w:jc w:val="both"/>
      </w:pPr>
    </w:p>
    <w:p w:rsidR="0056152C" w:rsidRDefault="0056152C" w:rsidP="00115018">
      <w:pPr>
        <w:jc w:val="both"/>
      </w:pPr>
    </w:p>
    <w:p w:rsidR="0056152C" w:rsidRDefault="0056152C" w:rsidP="00115018">
      <w:pPr>
        <w:jc w:val="both"/>
      </w:pPr>
    </w:p>
    <w:p w:rsidR="0056152C" w:rsidRDefault="0056152C" w:rsidP="00115018">
      <w:pPr>
        <w:jc w:val="both"/>
      </w:pPr>
    </w:p>
    <w:p w:rsidR="0056152C" w:rsidRPr="00625AB7" w:rsidRDefault="0056152C" w:rsidP="00115018">
      <w:pPr>
        <w:jc w:val="both"/>
      </w:pPr>
      <w:r>
        <w:t>…………………………………………………….                                                             ……………………………………………………</w:t>
      </w:r>
    </w:p>
    <w:p w:rsidR="00115018" w:rsidRDefault="0056152C" w:rsidP="00115018">
      <w:pPr>
        <w:jc w:val="both"/>
      </w:pPr>
      <w:r>
        <w:t xml:space="preserve">               </w:t>
      </w:r>
      <w:r w:rsidR="00115018" w:rsidRPr="00625AB7">
        <w:t xml:space="preserve">Jiří </w:t>
      </w:r>
      <w:proofErr w:type="spellStart"/>
      <w:r w:rsidR="00115018" w:rsidRPr="00625AB7">
        <w:t>Vitanovský</w:t>
      </w:r>
      <w:proofErr w:type="spellEnd"/>
      <w:r w:rsidR="00115018" w:rsidRPr="00625AB7">
        <w:tab/>
      </w:r>
      <w:r w:rsidR="00115018" w:rsidRPr="00625AB7">
        <w:tab/>
      </w:r>
      <w:r w:rsidR="00115018" w:rsidRPr="00625AB7">
        <w:tab/>
      </w:r>
      <w:r w:rsidR="00115018" w:rsidRPr="00625AB7">
        <w:tab/>
      </w:r>
      <w:r w:rsidR="00115018" w:rsidRPr="00625AB7">
        <w:tab/>
      </w:r>
      <w:r>
        <w:t xml:space="preserve">                                </w:t>
      </w:r>
      <w:r w:rsidR="00115018" w:rsidRPr="00625AB7">
        <w:tab/>
        <w:t xml:space="preserve">Jana </w:t>
      </w:r>
      <w:proofErr w:type="spellStart"/>
      <w:r w:rsidR="00115018" w:rsidRPr="00625AB7">
        <w:t>Běluša</w:t>
      </w:r>
      <w:proofErr w:type="spellEnd"/>
    </w:p>
    <w:p w:rsidR="0056152C" w:rsidRPr="00625AB7" w:rsidRDefault="0056152C" w:rsidP="00115018">
      <w:pPr>
        <w:jc w:val="both"/>
      </w:pPr>
      <w:r>
        <w:t xml:space="preserve">       Starosta městyse Deblín                                                                                  místostarosta městyse Deblín</w:t>
      </w:r>
    </w:p>
    <w:p w:rsidR="00CF0661" w:rsidRPr="00625AB7" w:rsidRDefault="00CF0661" w:rsidP="00CF0661">
      <w:pPr>
        <w:pStyle w:val="Odstavecseseznamem"/>
      </w:pPr>
    </w:p>
    <w:p w:rsidR="00CF0661" w:rsidRPr="00625AB7" w:rsidRDefault="00CF0661" w:rsidP="00CF0661"/>
    <w:p w:rsidR="00CF0661" w:rsidRPr="00625AB7" w:rsidRDefault="00CF0661" w:rsidP="00CF0661">
      <w:pPr>
        <w:jc w:val="center"/>
      </w:pPr>
    </w:p>
    <w:p w:rsidR="00843D94" w:rsidRPr="00625AB7" w:rsidRDefault="00843D94" w:rsidP="00843D94"/>
    <w:p w:rsidR="00D96C5D" w:rsidRDefault="00D96C5D" w:rsidP="005B08E3">
      <w:pPr>
        <w:jc w:val="center"/>
        <w:rPr>
          <w:b/>
        </w:rPr>
      </w:pPr>
    </w:p>
    <w:p w:rsidR="001E0794" w:rsidRDefault="001E0794" w:rsidP="005B08E3">
      <w:pPr>
        <w:jc w:val="center"/>
        <w:rPr>
          <w:b/>
        </w:rPr>
      </w:pPr>
    </w:p>
    <w:p w:rsidR="001E0794" w:rsidRDefault="001E0794" w:rsidP="005B08E3">
      <w:pPr>
        <w:jc w:val="center"/>
        <w:rPr>
          <w:b/>
        </w:rPr>
      </w:pPr>
    </w:p>
    <w:p w:rsidR="001E0794" w:rsidRDefault="001E0794" w:rsidP="005B08E3">
      <w:pPr>
        <w:jc w:val="center"/>
        <w:rPr>
          <w:b/>
        </w:rPr>
      </w:pPr>
    </w:p>
    <w:p w:rsidR="001E0794" w:rsidRDefault="001E0794" w:rsidP="005B08E3">
      <w:pPr>
        <w:jc w:val="center"/>
        <w:rPr>
          <w:b/>
        </w:rPr>
      </w:pPr>
    </w:p>
    <w:p w:rsidR="001E0794" w:rsidRPr="005B08E3" w:rsidRDefault="001E0794" w:rsidP="005B08E3">
      <w:pPr>
        <w:jc w:val="center"/>
        <w:rPr>
          <w:b/>
        </w:rPr>
      </w:pPr>
      <w:bookmarkStart w:id="0" w:name="_GoBack"/>
      <w:bookmarkEnd w:id="0"/>
    </w:p>
    <w:sectPr w:rsidR="001E0794" w:rsidRPr="005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948"/>
    <w:multiLevelType w:val="hybridMultilevel"/>
    <w:tmpl w:val="B2AE2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5F2A"/>
    <w:multiLevelType w:val="hybridMultilevel"/>
    <w:tmpl w:val="F9C219DE"/>
    <w:lvl w:ilvl="0" w:tplc="5BB244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93E1AB4"/>
    <w:multiLevelType w:val="hybridMultilevel"/>
    <w:tmpl w:val="9208AA00"/>
    <w:lvl w:ilvl="0" w:tplc="0C88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10973"/>
    <w:multiLevelType w:val="hybridMultilevel"/>
    <w:tmpl w:val="472AA57A"/>
    <w:lvl w:ilvl="0" w:tplc="D45C5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3EF8"/>
    <w:multiLevelType w:val="hybridMultilevel"/>
    <w:tmpl w:val="791CB39E"/>
    <w:lvl w:ilvl="0" w:tplc="00A2BA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F0D6C"/>
    <w:multiLevelType w:val="hybridMultilevel"/>
    <w:tmpl w:val="0A6E6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7FC4"/>
    <w:multiLevelType w:val="hybridMultilevel"/>
    <w:tmpl w:val="92487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18D8"/>
    <w:multiLevelType w:val="hybridMultilevel"/>
    <w:tmpl w:val="88DAAADA"/>
    <w:lvl w:ilvl="0" w:tplc="2C0042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65245A2D"/>
    <w:multiLevelType w:val="hybridMultilevel"/>
    <w:tmpl w:val="4BEE7C0E"/>
    <w:lvl w:ilvl="0" w:tplc="A3DCA6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74413D74"/>
    <w:multiLevelType w:val="hybridMultilevel"/>
    <w:tmpl w:val="0F268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5B57"/>
    <w:multiLevelType w:val="hybridMultilevel"/>
    <w:tmpl w:val="35EC1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3"/>
    <w:rsid w:val="000844D8"/>
    <w:rsid w:val="000D3F60"/>
    <w:rsid w:val="00115018"/>
    <w:rsid w:val="00157A1D"/>
    <w:rsid w:val="001E0794"/>
    <w:rsid w:val="002073D5"/>
    <w:rsid w:val="0027099B"/>
    <w:rsid w:val="002E656B"/>
    <w:rsid w:val="00336B84"/>
    <w:rsid w:val="003E33AE"/>
    <w:rsid w:val="0040059D"/>
    <w:rsid w:val="004D07AE"/>
    <w:rsid w:val="004F1439"/>
    <w:rsid w:val="0056152C"/>
    <w:rsid w:val="005B08E3"/>
    <w:rsid w:val="00600426"/>
    <w:rsid w:val="0060481F"/>
    <w:rsid w:val="00625AB7"/>
    <w:rsid w:val="00755E09"/>
    <w:rsid w:val="008106DF"/>
    <w:rsid w:val="00843D94"/>
    <w:rsid w:val="009038A5"/>
    <w:rsid w:val="00BF0F0F"/>
    <w:rsid w:val="00CF0661"/>
    <w:rsid w:val="00D96C5D"/>
    <w:rsid w:val="00F351BE"/>
    <w:rsid w:val="00F368A4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175A-9328-437C-8D88-166FEB35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D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52C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1E0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vitova</cp:lastModifiedBy>
  <cp:revision>46</cp:revision>
  <cp:lastPrinted>2016-12-19T13:01:00Z</cp:lastPrinted>
  <dcterms:created xsi:type="dcterms:W3CDTF">2016-03-17T13:30:00Z</dcterms:created>
  <dcterms:modified xsi:type="dcterms:W3CDTF">2016-12-19T13:26:00Z</dcterms:modified>
</cp:coreProperties>
</file>